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D4223D" w:rsidR="00D4223D" w:rsidP="00D4223D" w:rsidRDefault="00D4223D" w14:paraId="70843B0A" w14:textId="77777777">
      <w:pPr>
        <w:spacing w:after="0" w:line="240" w:lineRule="auto"/>
        <w:jc w:val="center"/>
        <w:rPr>
          <w:b/>
          <w:bCs/>
        </w:rPr>
      </w:pPr>
      <w:r w:rsidRPr="00D4223D">
        <w:rPr>
          <w:b/>
          <w:bCs/>
        </w:rPr>
        <w:t>The Right to Repair:</w:t>
      </w:r>
    </w:p>
    <w:p w:rsidR="001443EF" w:rsidP="00D4223D" w:rsidRDefault="00D4223D" w14:paraId="41A6EDA2" w14:textId="1BD9D43D">
      <w:pPr>
        <w:spacing w:after="0" w:line="240" w:lineRule="auto"/>
        <w:jc w:val="center"/>
        <w:rPr>
          <w:b/>
          <w:bCs/>
        </w:rPr>
      </w:pPr>
      <w:r w:rsidRPr="00D4223D">
        <w:rPr>
          <w:b/>
          <w:bCs/>
        </w:rPr>
        <w:t>Defending Access, Competition, and Uptime in Aftermarkets</w:t>
      </w:r>
    </w:p>
    <w:p w:rsidRPr="00D4223D" w:rsidR="00D4223D" w:rsidP="00D4223D" w:rsidRDefault="00D4223D" w14:paraId="310DBD6B" w14:textId="77777777">
      <w:pPr>
        <w:spacing w:after="0" w:line="240" w:lineRule="auto"/>
        <w:jc w:val="center"/>
        <w:rPr>
          <w:b/>
          <w:bCs/>
        </w:rPr>
      </w:pPr>
    </w:p>
    <w:p w:rsidR="001443EF" w:rsidP="001443EF" w:rsidRDefault="001443EF" w14:paraId="31DBE432" w14:textId="3A6B4E48">
      <w:pPr>
        <w:spacing w:after="0" w:line="240" w:lineRule="auto"/>
        <w:jc w:val="center"/>
      </w:pPr>
      <w:r>
        <w:t>by</w:t>
      </w:r>
    </w:p>
    <w:p w:rsidR="001443EF" w:rsidP="001443EF" w:rsidRDefault="001443EF" w14:paraId="155ED922" w14:textId="77777777">
      <w:pPr>
        <w:spacing w:after="0" w:line="240" w:lineRule="auto"/>
        <w:jc w:val="center"/>
      </w:pPr>
    </w:p>
    <w:p w:rsidR="001443EF" w:rsidP="001443EF" w:rsidRDefault="001443EF" w14:paraId="0F2C53BB" w14:textId="3BF732A6">
      <w:pPr>
        <w:spacing w:after="0" w:line="240" w:lineRule="auto"/>
        <w:jc w:val="center"/>
      </w:pPr>
      <w:r>
        <w:t>Ethan E. Litwin</w:t>
      </w:r>
    </w:p>
    <w:p w:rsidR="005E4883" w:rsidP="001443EF" w:rsidRDefault="001443EF" w14:paraId="1549DDF4" w14:textId="51A06E7A">
      <w:pPr>
        <w:spacing w:after="0" w:line="240" w:lineRule="auto"/>
        <w:jc w:val="center"/>
      </w:pPr>
      <w:r>
        <w:t>Shinder Cantor Lerner LLP</w:t>
      </w:r>
    </w:p>
    <w:p w:rsidRPr="001443EF" w:rsidR="001443EF" w:rsidP="001443EF" w:rsidRDefault="001443EF" w14:paraId="303B92D2" w14:textId="77777777">
      <w:pPr>
        <w:spacing w:after="0" w:line="240" w:lineRule="auto"/>
        <w:jc w:val="center"/>
      </w:pPr>
    </w:p>
    <w:p w:rsidR="005E4883" w:rsidP="001443EF" w:rsidRDefault="001443EF" w14:paraId="4DD4871F" w14:textId="2BA56059">
      <w:pPr>
        <w:jc w:val="both"/>
        <w:rPr>
          <w:rFonts w:ascii="Times New Roman" w:hAnsi="Times New Roman" w:cs="Times New Roman"/>
          <w:sz w:val="24"/>
          <w:szCs w:val="24"/>
        </w:rPr>
      </w:pPr>
      <w:r>
        <w:rPr>
          <w:rFonts w:ascii="Times New Roman" w:hAnsi="Times New Roman" w:cs="Times New Roman"/>
          <w:sz w:val="24"/>
          <w:szCs w:val="24"/>
        </w:rPr>
        <w:t>T</w:t>
      </w:r>
      <w:r w:rsidRPr="001443EF">
        <w:rPr>
          <w:rFonts w:ascii="Times New Roman" w:hAnsi="Times New Roman" w:cs="Times New Roman"/>
          <w:sz w:val="24"/>
          <w:szCs w:val="24"/>
        </w:rPr>
        <w:t>he right to repair is about ensuring that owners, operators, and independent service providers have fair access to the diagnostic tools, software, and replacement parts they need to keep vehicles</w:t>
      </w:r>
      <w:r>
        <w:rPr>
          <w:rFonts w:ascii="Times New Roman" w:hAnsi="Times New Roman" w:cs="Times New Roman"/>
          <w:sz w:val="24"/>
          <w:szCs w:val="24"/>
        </w:rPr>
        <w:t xml:space="preserve"> </w:t>
      </w:r>
      <w:r w:rsidRPr="001443EF">
        <w:rPr>
          <w:rFonts w:ascii="Times New Roman" w:hAnsi="Times New Roman" w:cs="Times New Roman"/>
          <w:sz w:val="24"/>
          <w:szCs w:val="24"/>
        </w:rPr>
        <w:t>running.</w:t>
      </w:r>
      <w:r>
        <w:rPr>
          <w:rFonts w:ascii="Times New Roman" w:hAnsi="Times New Roman" w:cs="Times New Roman"/>
          <w:sz w:val="24"/>
          <w:szCs w:val="24"/>
        </w:rPr>
        <w:t xml:space="preserve"> </w:t>
      </w:r>
      <w:r w:rsidRPr="001443EF">
        <w:rPr>
          <w:rFonts w:ascii="Times New Roman" w:hAnsi="Times New Roman" w:cs="Times New Roman"/>
          <w:sz w:val="24"/>
          <w:szCs w:val="24"/>
        </w:rPr>
        <w:t>When OEMs lock down critical data or restrict tools to their dealer networks, fleets sit idle. Downtime grows, costs spike, and aftermarket distributors are pushed out of markets they</w:t>
      </w:r>
      <w:r>
        <w:rPr>
          <w:rFonts w:ascii="Times New Roman" w:hAnsi="Times New Roman" w:cs="Times New Roman"/>
          <w:sz w:val="24"/>
          <w:szCs w:val="24"/>
        </w:rPr>
        <w:t xml:space="preserve"> ha</w:t>
      </w:r>
      <w:r w:rsidRPr="001443EF">
        <w:rPr>
          <w:rFonts w:ascii="Times New Roman" w:hAnsi="Times New Roman" w:cs="Times New Roman"/>
          <w:sz w:val="24"/>
          <w:szCs w:val="24"/>
        </w:rPr>
        <w:t xml:space="preserve">ve supported for decades. The stakes are especially high in the </w:t>
      </w:r>
      <w:r>
        <w:rPr>
          <w:rFonts w:ascii="Times New Roman" w:hAnsi="Times New Roman" w:cs="Times New Roman"/>
          <w:sz w:val="24"/>
          <w:szCs w:val="24"/>
        </w:rPr>
        <w:t>heavy duty</w:t>
      </w:r>
      <w:r w:rsidRPr="001443EF">
        <w:rPr>
          <w:rFonts w:ascii="Times New Roman" w:hAnsi="Times New Roman" w:cs="Times New Roman"/>
          <w:sz w:val="24"/>
          <w:szCs w:val="24"/>
        </w:rPr>
        <w:t xml:space="preserve"> sector, where equipment uptime drives productivity, safety, and profitability. As embedded software and telematics permeate modern trucks and agricultural equipment, OEMs increasingly defend restrictions as “safety,” “emissions,” or “cybersecurity” necessities. The core principle is simple: if you own it, you should be able to repair it—or choose who does.</w:t>
      </w:r>
      <w:r w:rsidRPr="001443EF" w:rsidR="00CB5C41">
        <w:rPr>
          <w:rFonts w:ascii="Times New Roman" w:hAnsi="Times New Roman" w:cs="Times New Roman"/>
          <w:sz w:val="24"/>
          <w:szCs w:val="24"/>
        </w:rPr>
        <w:t xml:space="preserve"> </w:t>
      </w:r>
    </w:p>
    <w:p w:rsidRPr="00E757BC" w:rsidR="00E757BC" w:rsidP="00E757BC" w:rsidRDefault="00E757BC" w14:paraId="0783FDBF" w14:textId="77777777">
      <w:pPr>
        <w:jc w:val="both"/>
        <w:rPr>
          <w:rFonts w:ascii="Times New Roman" w:hAnsi="Times New Roman" w:cs="Times New Roman"/>
          <w:b/>
          <w:bCs/>
          <w:sz w:val="24"/>
          <w:szCs w:val="24"/>
        </w:rPr>
      </w:pPr>
      <w:r w:rsidRPr="00E757BC">
        <w:rPr>
          <w:rFonts w:ascii="Times New Roman" w:hAnsi="Times New Roman" w:cs="Times New Roman"/>
          <w:b/>
          <w:bCs/>
          <w:sz w:val="24"/>
          <w:szCs w:val="24"/>
        </w:rPr>
        <w:t>The Regulatory and Litigation Landscape</w:t>
      </w:r>
    </w:p>
    <w:p w:rsidRPr="00E757BC" w:rsidR="00E757BC" w:rsidP="00E757BC" w:rsidRDefault="00E757BC" w14:paraId="6DAA400E" w14:textId="25DD8A66">
      <w:pPr>
        <w:ind w:firstLine="720"/>
        <w:jc w:val="both"/>
        <w:rPr>
          <w:rFonts w:ascii="Times New Roman" w:hAnsi="Times New Roman" w:cs="Times New Roman"/>
          <w:i/>
          <w:iCs/>
          <w:sz w:val="24"/>
          <w:szCs w:val="24"/>
        </w:rPr>
      </w:pPr>
      <w:r w:rsidRPr="00E757BC">
        <w:rPr>
          <w:rFonts w:ascii="Times New Roman" w:hAnsi="Times New Roman" w:cs="Times New Roman"/>
          <w:i/>
          <w:iCs/>
          <w:sz w:val="24"/>
          <w:szCs w:val="24"/>
        </w:rPr>
        <w:t xml:space="preserve">The </w:t>
      </w:r>
      <w:r w:rsidRPr="00E757BC">
        <w:rPr>
          <w:rFonts w:ascii="Times New Roman" w:hAnsi="Times New Roman" w:cs="Times New Roman"/>
          <w:i/>
          <w:iCs/>
          <w:sz w:val="24"/>
          <w:szCs w:val="24"/>
        </w:rPr>
        <w:t>FTC’s Nix the Fix</w:t>
      </w:r>
    </w:p>
    <w:p w:rsidRPr="00E757BC" w:rsidR="00E757BC" w:rsidP="00E757BC" w:rsidRDefault="00E757BC" w14:paraId="376857B7" w14:textId="77777777">
      <w:pPr>
        <w:jc w:val="both"/>
        <w:rPr>
          <w:rFonts w:ascii="Times New Roman" w:hAnsi="Times New Roman" w:cs="Times New Roman"/>
          <w:sz w:val="24"/>
          <w:szCs w:val="24"/>
        </w:rPr>
      </w:pPr>
      <w:r w:rsidRPr="00E757BC">
        <w:rPr>
          <w:rFonts w:ascii="Times New Roman" w:hAnsi="Times New Roman" w:cs="Times New Roman"/>
          <w:sz w:val="24"/>
          <w:szCs w:val="24"/>
        </w:rPr>
        <w:t xml:space="preserve">The FTC’s </w:t>
      </w:r>
      <w:r w:rsidRPr="00E757BC">
        <w:rPr>
          <w:rFonts w:ascii="Times New Roman" w:hAnsi="Times New Roman" w:cs="Times New Roman"/>
          <w:i/>
          <w:iCs/>
          <w:sz w:val="24"/>
          <w:szCs w:val="24"/>
        </w:rPr>
        <w:t>Nix the Fix</w:t>
      </w:r>
      <w:r w:rsidRPr="00E757BC">
        <w:rPr>
          <w:rFonts w:ascii="Times New Roman" w:hAnsi="Times New Roman" w:cs="Times New Roman"/>
          <w:sz w:val="24"/>
          <w:szCs w:val="24"/>
        </w:rPr>
        <w:t xml:space="preserve"> initiative originated from a series of public complaints and congressional inquiries in the late 2010s, which raised concerns that manufacturers were using digital locks, restrictive warranties, and proprietary software to monopolize repair markets. In 2019, the FTC launched an extensive investigation into these practices, holding a public workshop titled </w:t>
      </w:r>
      <w:r w:rsidRPr="00E757BC">
        <w:rPr>
          <w:rFonts w:ascii="Times New Roman" w:hAnsi="Times New Roman" w:cs="Times New Roman"/>
          <w:i/>
          <w:iCs/>
          <w:sz w:val="24"/>
          <w:szCs w:val="24"/>
        </w:rPr>
        <w:t>Nixing the Fix: A Workshop on Repair Restrictions</w:t>
      </w:r>
      <w:r w:rsidRPr="00E757BC">
        <w:rPr>
          <w:rFonts w:ascii="Times New Roman" w:hAnsi="Times New Roman" w:cs="Times New Roman"/>
          <w:sz w:val="24"/>
          <w:szCs w:val="24"/>
        </w:rPr>
        <w:t xml:space="preserve"> to examine how limitations on repair information, parts, and tools were affecting consumers, small businesses, and competition. The hearings brought together automakers, agricultural equipment manufacturers, independent repair shops, consumer advocates, and economists to explore whether existing laws were sufficient to protect open repair markets.</w:t>
      </w:r>
    </w:p>
    <w:p w:rsidRPr="00E757BC" w:rsidR="00E757BC" w:rsidP="00E757BC" w:rsidRDefault="00E757BC" w14:paraId="38F9E06C" w14:textId="77777777">
      <w:pPr>
        <w:jc w:val="both"/>
        <w:rPr>
          <w:rFonts w:ascii="Times New Roman" w:hAnsi="Times New Roman" w:cs="Times New Roman"/>
          <w:sz w:val="24"/>
          <w:szCs w:val="24"/>
        </w:rPr>
      </w:pPr>
      <w:r w:rsidRPr="00E757BC">
        <w:rPr>
          <w:rFonts w:ascii="Times New Roman" w:hAnsi="Times New Roman" w:cs="Times New Roman"/>
          <w:sz w:val="24"/>
          <w:szCs w:val="24"/>
        </w:rPr>
        <w:t>Over several sessions, independent repairers, farmers, and consumer groups testified that manufacturers were increasingly embedding software locks and telematics systems that prevented even routine repairs without OEM authorization. Participants presented evidence showing that restricted access to diagnostic tools and manuals led to higher costs, longer downtimes, and wasteful product replacement cycles. Independent mechanics and parts distributors emphasized that, in the heavy equipment space, downtime is more than inconvenience—it is lost revenue per hour. One witness told the Commission, “When a combine sits idle during harvest because a code can’t be cleared, that’s tens of thousands of dollars in the dirt every day.” Manufacturers defended their practices by citing safety, emissions, and cybersecurity concerns, but the record showed that these risks were largely hypothetical and often overstated. Economists and antitrust experts also warned that repair restrictions could amount to exclusionary conduct under the antitrust laws.</w:t>
      </w:r>
    </w:p>
    <w:p w:rsidRPr="00E757BC" w:rsidR="00E757BC" w:rsidP="00E757BC" w:rsidRDefault="00E757BC" w14:paraId="65235A03" w14:textId="77777777">
      <w:pPr>
        <w:jc w:val="both"/>
        <w:rPr>
          <w:rFonts w:ascii="Times New Roman" w:hAnsi="Times New Roman" w:cs="Times New Roman"/>
          <w:sz w:val="24"/>
          <w:szCs w:val="24"/>
        </w:rPr>
      </w:pPr>
      <w:r w:rsidRPr="00E757BC">
        <w:rPr>
          <w:rFonts w:ascii="Times New Roman" w:hAnsi="Times New Roman" w:cs="Times New Roman"/>
          <w:sz w:val="24"/>
          <w:szCs w:val="24"/>
        </w:rPr>
        <w:t xml:space="preserve">In May 2021, the FTC submitted its </w:t>
      </w:r>
      <w:r w:rsidRPr="00E757BC">
        <w:rPr>
          <w:rFonts w:ascii="Times New Roman" w:hAnsi="Times New Roman" w:cs="Times New Roman"/>
          <w:i/>
          <w:iCs/>
          <w:sz w:val="24"/>
          <w:szCs w:val="24"/>
        </w:rPr>
        <w:t>Nix the Fix</w:t>
      </w:r>
      <w:r w:rsidRPr="00E757BC">
        <w:rPr>
          <w:rFonts w:ascii="Times New Roman" w:hAnsi="Times New Roman" w:cs="Times New Roman"/>
          <w:sz w:val="24"/>
          <w:szCs w:val="24"/>
        </w:rPr>
        <w:t xml:space="preserve"> report to Congress, concluding there was “scant evidence” that manufacturer-imposed repair restrictions were necessary to protect consumers or maintain product safety. The agency found that these restrictions primarily served to reduce competition in aftermarkets, increase costs for consumers, and stifle innovation among independent service providers. The report urged Congress to strengthen enforcement tools, recommended that the FTC itself prioritize right-to-repair enforcement, laying the groundwork for the agency’s current efforts to break OEM repair monopolies.</w:t>
      </w:r>
    </w:p>
    <w:p w:rsidRPr="00E757BC" w:rsidR="00E757BC" w:rsidP="00E757BC" w:rsidRDefault="00E757BC" w14:paraId="18410992" w14:textId="77777777">
      <w:pPr>
        <w:jc w:val="both"/>
        <w:rPr>
          <w:rFonts w:ascii="Times New Roman" w:hAnsi="Times New Roman" w:cs="Times New Roman"/>
          <w:i/>
          <w:iCs/>
          <w:sz w:val="24"/>
          <w:szCs w:val="24"/>
        </w:rPr>
      </w:pPr>
      <w:r w:rsidRPr="00E757BC">
        <w:rPr>
          <w:rFonts w:ascii="Times New Roman" w:hAnsi="Times New Roman" w:cs="Times New Roman"/>
          <w:sz w:val="24"/>
          <w:szCs w:val="24"/>
        </w:rPr>
        <w:tab/>
      </w:r>
      <w:r w:rsidRPr="00E757BC">
        <w:rPr>
          <w:rFonts w:ascii="Times New Roman" w:hAnsi="Times New Roman" w:cs="Times New Roman"/>
          <w:i/>
          <w:iCs/>
          <w:sz w:val="24"/>
          <w:szCs w:val="24"/>
        </w:rPr>
        <w:t>The John Deere Litigations</w:t>
      </w:r>
    </w:p>
    <w:p w:rsidRPr="00E757BC" w:rsidR="00E757BC" w:rsidP="00E757BC" w:rsidRDefault="00E757BC" w14:paraId="1218EFC6" w14:textId="77777777">
      <w:pPr>
        <w:jc w:val="both"/>
        <w:rPr>
          <w:rFonts w:ascii="Times New Roman" w:hAnsi="Times New Roman" w:cs="Times New Roman"/>
          <w:sz w:val="24"/>
          <w:szCs w:val="24"/>
        </w:rPr>
      </w:pPr>
      <w:r w:rsidRPr="00E757BC">
        <w:rPr>
          <w:rFonts w:ascii="Times New Roman" w:hAnsi="Times New Roman" w:cs="Times New Roman"/>
          <w:sz w:val="24"/>
          <w:szCs w:val="24"/>
        </w:rPr>
        <w:t>The pending lawsuits against John Deere have become the defining battleground for the right to repair movement in the agricultural and heavy-equipment sectors. The dual proceedings—a federal enforcement action by the Federal Trade Commission (FTC) and several states and a separate private class action brought by farmers—allege that Deere unlawfully monopolized the repair and maintenance market for its own equipment by locking up critical software, diagnostic tools, and parts.</w:t>
      </w:r>
    </w:p>
    <w:p w:rsidRPr="00E757BC" w:rsidR="00E757BC" w:rsidP="00E757BC" w:rsidRDefault="00E757BC" w14:paraId="61B32837" w14:textId="77777777">
      <w:pPr>
        <w:jc w:val="both"/>
        <w:rPr>
          <w:rFonts w:ascii="Times New Roman" w:hAnsi="Times New Roman" w:cs="Times New Roman"/>
          <w:sz w:val="24"/>
          <w:szCs w:val="24"/>
        </w:rPr>
      </w:pPr>
      <w:r w:rsidRPr="00E757BC">
        <w:rPr>
          <w:rFonts w:ascii="Times New Roman" w:hAnsi="Times New Roman" w:cs="Times New Roman"/>
          <w:sz w:val="24"/>
          <w:szCs w:val="24"/>
        </w:rPr>
        <w:t>The FTC’s complaint, filed in February 2025, asserts that Deere has maintained an unlawful monopoly over repair tools and software for agricultural machinery. The complaint highlights Deere’s “steering practices” (directing customers to authorized dealers through digital restrictions), limits that Deere has placed on its proprietary Service ADVISOR diagnostic platform, which independent repairers cannot fully access, and the use of encryption and embedded software locks that prevent legitimate repairs outside of the Deere dealer network. The Commission seeks FRAND-style relief—requiring Deere to provide all essential repair tools, software, and technical information on fair, reasonable, and non-discriminatory terms, similar to remedies used in the telecommunications industry.</w:t>
      </w:r>
    </w:p>
    <w:p w:rsidRPr="00E757BC" w:rsidR="00E757BC" w:rsidP="00E757BC" w:rsidRDefault="00E757BC" w14:paraId="311AA30B" w14:textId="77777777">
      <w:pPr>
        <w:jc w:val="both"/>
        <w:rPr>
          <w:rFonts w:ascii="Times New Roman" w:hAnsi="Times New Roman" w:cs="Times New Roman"/>
          <w:sz w:val="24"/>
          <w:szCs w:val="24"/>
        </w:rPr>
      </w:pPr>
      <w:r w:rsidRPr="00E757BC">
        <w:rPr>
          <w:rFonts w:ascii="Times New Roman" w:hAnsi="Times New Roman" w:cs="Times New Roman"/>
          <w:sz w:val="24"/>
          <w:szCs w:val="24"/>
        </w:rPr>
        <w:t xml:space="preserve">Parallel to the government case, the earlier farmer class action was filed by equipment owners and independent repair shops seeking monetary damages for overcharges and lost productivity resulting from Deere’s alleged conduct. The plaintiffs claim Deere’s digital restrictions force them to use authorized dealers at inflated rates and prevent them from performing even routine maintenance without paying for OEM service. </w:t>
      </w:r>
    </w:p>
    <w:p w:rsidRPr="00E757BC" w:rsidR="00E757BC" w:rsidP="00E757BC" w:rsidRDefault="00E757BC" w14:paraId="65EDA766" w14:textId="77777777">
      <w:pPr>
        <w:jc w:val="both"/>
        <w:rPr>
          <w:rFonts w:ascii="Times New Roman" w:hAnsi="Times New Roman" w:cs="Times New Roman"/>
          <w:sz w:val="24"/>
          <w:szCs w:val="24"/>
        </w:rPr>
      </w:pPr>
      <w:r w:rsidRPr="00E757BC">
        <w:rPr>
          <w:rFonts w:ascii="Times New Roman" w:hAnsi="Times New Roman" w:cs="Times New Roman"/>
          <w:sz w:val="24"/>
          <w:szCs w:val="24"/>
        </w:rPr>
        <w:t>The cases have already produced notable victories for enforcement advocates. The federal court denied Deere’s motion for judgment on the pleadings in November 2023, allowing the class claims to proceed to discovery. And in June 2025, the court denied Deere’s motion to dismiss the FTC action, rejecting arguments that the company’s repair restrictions were justified by safety or cybersecurity concerns and affirming the agency’s core antitrust claims. In August 2025, the court ordered discovery of Deere’s internal dealer profitability data, giving regulators and plaintiffs access to records that may reveal how repair restrictions reinforce market control.</w:t>
      </w:r>
    </w:p>
    <w:p w:rsidR="00E757BC" w:rsidP="00E757BC" w:rsidRDefault="00E757BC" w14:paraId="3C1F098D" w14:textId="693BDC0E">
      <w:pPr>
        <w:jc w:val="both"/>
        <w:rPr>
          <w:rFonts w:ascii="Times New Roman" w:hAnsi="Times New Roman" w:cs="Times New Roman"/>
          <w:sz w:val="24"/>
          <w:szCs w:val="24"/>
        </w:rPr>
      </w:pPr>
      <w:r w:rsidRPr="00E757BC">
        <w:rPr>
          <w:rFonts w:ascii="Times New Roman" w:hAnsi="Times New Roman" w:cs="Times New Roman"/>
          <w:sz w:val="24"/>
          <w:szCs w:val="24"/>
        </w:rPr>
        <w:t>Together, these proceedings mark a turning point: for the first time, both private litigants and the federal government are pursuing comprehensive remedies to open digital repair markets in the agricultural sector. Their success—or failure—will likely determine the boundaries of repair rights across the broader heavy duty and commercial vehicle industries.</w:t>
      </w:r>
    </w:p>
    <w:p w:rsidRPr="00E757BC" w:rsidR="00E757BC" w:rsidP="00E757BC" w:rsidRDefault="00E757BC" w14:paraId="69F05C90" w14:textId="751919E2">
      <w:pPr>
        <w:jc w:val="both"/>
        <w:rPr>
          <w:rFonts w:ascii="Times New Roman" w:hAnsi="Times New Roman" w:cs="Times New Roman"/>
          <w:b/>
          <w:bCs/>
          <w:sz w:val="24"/>
          <w:szCs w:val="24"/>
        </w:rPr>
      </w:pPr>
      <w:r>
        <w:rPr>
          <w:rFonts w:ascii="Times New Roman" w:hAnsi="Times New Roman" w:cs="Times New Roman"/>
          <w:b/>
          <w:bCs/>
          <w:sz w:val="24"/>
          <w:szCs w:val="24"/>
        </w:rPr>
        <w:t>Legislative Efforts</w:t>
      </w:r>
    </w:p>
    <w:p w:rsidRPr="00E757BC" w:rsidR="00E757BC" w:rsidP="00E757BC" w:rsidRDefault="00E757BC" w14:paraId="2F5E8176" w14:textId="759048B1">
      <w:pPr>
        <w:ind w:firstLine="720"/>
        <w:jc w:val="both"/>
        <w:rPr>
          <w:rFonts w:ascii="Times New Roman" w:hAnsi="Times New Roman" w:cs="Times New Roman"/>
          <w:i/>
          <w:iCs/>
          <w:sz w:val="24"/>
          <w:szCs w:val="24"/>
        </w:rPr>
      </w:pPr>
      <w:r w:rsidRPr="00E757BC">
        <w:rPr>
          <w:rFonts w:ascii="Times New Roman" w:hAnsi="Times New Roman" w:cs="Times New Roman"/>
          <w:i/>
          <w:iCs/>
          <w:sz w:val="24"/>
          <w:szCs w:val="24"/>
        </w:rPr>
        <w:t>State Right</w:t>
      </w:r>
      <w:r>
        <w:rPr>
          <w:rFonts w:ascii="Times New Roman" w:hAnsi="Times New Roman" w:cs="Times New Roman"/>
          <w:i/>
          <w:iCs/>
          <w:sz w:val="24"/>
          <w:szCs w:val="24"/>
        </w:rPr>
        <w:t xml:space="preserve"> </w:t>
      </w:r>
      <w:r w:rsidRPr="00E757BC">
        <w:rPr>
          <w:rFonts w:ascii="Times New Roman" w:hAnsi="Times New Roman" w:cs="Times New Roman"/>
          <w:i/>
          <w:iCs/>
          <w:sz w:val="24"/>
          <w:szCs w:val="24"/>
        </w:rPr>
        <w:t>to</w:t>
      </w:r>
      <w:r>
        <w:rPr>
          <w:rFonts w:ascii="Times New Roman" w:hAnsi="Times New Roman" w:cs="Times New Roman"/>
          <w:i/>
          <w:iCs/>
          <w:sz w:val="24"/>
          <w:szCs w:val="24"/>
        </w:rPr>
        <w:t xml:space="preserve"> </w:t>
      </w:r>
      <w:r w:rsidRPr="00E757BC">
        <w:rPr>
          <w:rFonts w:ascii="Times New Roman" w:hAnsi="Times New Roman" w:cs="Times New Roman"/>
          <w:i/>
          <w:iCs/>
          <w:sz w:val="24"/>
          <w:szCs w:val="24"/>
        </w:rPr>
        <w:t>Repair Laws</w:t>
      </w:r>
    </w:p>
    <w:p w:rsidRPr="00E757BC" w:rsidR="00E757BC" w:rsidP="00E757BC" w:rsidRDefault="00E757BC" w14:paraId="4EA44428" w14:textId="58F77F44">
      <w:pPr>
        <w:jc w:val="both"/>
        <w:rPr>
          <w:rFonts w:ascii="Times New Roman" w:hAnsi="Times New Roman" w:cs="Times New Roman"/>
          <w:sz w:val="24"/>
          <w:szCs w:val="24"/>
        </w:rPr>
      </w:pPr>
      <w:r w:rsidRPr="00E757BC">
        <w:rPr>
          <w:rFonts w:ascii="Times New Roman" w:hAnsi="Times New Roman" w:cs="Times New Roman"/>
          <w:sz w:val="24"/>
          <w:szCs w:val="24"/>
        </w:rPr>
        <w:t>Since 2020, a wave of state</w:t>
      </w:r>
      <w:r>
        <w:rPr>
          <w:rFonts w:ascii="Times New Roman" w:hAnsi="Times New Roman" w:cs="Times New Roman"/>
          <w:sz w:val="24"/>
          <w:szCs w:val="24"/>
        </w:rPr>
        <w:t xml:space="preserve"> </w:t>
      </w:r>
      <w:r w:rsidRPr="00E757BC">
        <w:rPr>
          <w:rFonts w:ascii="Times New Roman" w:hAnsi="Times New Roman" w:cs="Times New Roman"/>
          <w:sz w:val="24"/>
          <w:szCs w:val="24"/>
        </w:rPr>
        <w:t>level right</w:t>
      </w:r>
      <w:r>
        <w:rPr>
          <w:rFonts w:ascii="Times New Roman" w:hAnsi="Times New Roman" w:cs="Times New Roman"/>
          <w:sz w:val="24"/>
          <w:szCs w:val="24"/>
        </w:rPr>
        <w:t xml:space="preserve"> </w:t>
      </w:r>
      <w:r w:rsidRPr="00E757BC">
        <w:rPr>
          <w:rFonts w:ascii="Times New Roman" w:hAnsi="Times New Roman" w:cs="Times New Roman"/>
          <w:sz w:val="24"/>
          <w:szCs w:val="24"/>
        </w:rPr>
        <w:t>to</w:t>
      </w:r>
      <w:r>
        <w:rPr>
          <w:rFonts w:ascii="Times New Roman" w:hAnsi="Times New Roman" w:cs="Times New Roman"/>
          <w:sz w:val="24"/>
          <w:szCs w:val="24"/>
        </w:rPr>
        <w:t xml:space="preserve"> </w:t>
      </w:r>
      <w:r w:rsidRPr="00E757BC">
        <w:rPr>
          <w:rFonts w:ascii="Times New Roman" w:hAnsi="Times New Roman" w:cs="Times New Roman"/>
          <w:sz w:val="24"/>
          <w:szCs w:val="24"/>
        </w:rPr>
        <w:t>repair laws has reshaped the national landscape, signaling broad bipartisan recognition that consumers and independent service providers deserve fair access to repair tools and data. These statutes vary in scope but share a common objective</w:t>
      </w:r>
      <w:r>
        <w:rPr>
          <w:rFonts w:ascii="Times New Roman" w:hAnsi="Times New Roman" w:cs="Times New Roman"/>
          <w:sz w:val="24"/>
          <w:szCs w:val="24"/>
        </w:rPr>
        <w:t xml:space="preserve">—namely, </w:t>
      </w:r>
      <w:r w:rsidRPr="00E757BC">
        <w:rPr>
          <w:rFonts w:ascii="Times New Roman" w:hAnsi="Times New Roman" w:cs="Times New Roman"/>
          <w:sz w:val="24"/>
          <w:szCs w:val="24"/>
        </w:rPr>
        <w:t>to curb OEM dominance over post-sale servicing. Colorado’s 2023 agricultural equipment law marked the first of its kind, compelling manufacturers like John Deere to make diagnostic software, tools, and parts available to farmers and independent repair shops. Shortly thereafter, California, New York, and Minnesota enacted electronic</w:t>
      </w:r>
      <w:r>
        <w:rPr>
          <w:rFonts w:ascii="Times New Roman" w:hAnsi="Times New Roman" w:cs="Times New Roman"/>
          <w:sz w:val="24"/>
          <w:szCs w:val="24"/>
        </w:rPr>
        <w:t xml:space="preserve"> </w:t>
      </w:r>
      <w:r w:rsidRPr="00E757BC">
        <w:rPr>
          <w:rFonts w:ascii="Times New Roman" w:hAnsi="Times New Roman" w:cs="Times New Roman"/>
          <w:sz w:val="24"/>
          <w:szCs w:val="24"/>
        </w:rPr>
        <w:t>device repair statutes covering consumer and commercial equipment, ensuring that owners can access manuals, diagnostic tools, and replacement parts. Oregon’s 2024 law built upon those models, expanding repair access for electronics and appliances. Together, these initiatives demonstrate that states—spanning every political region—are now willing to act where federal regulators have been slow to intervene</w:t>
      </w:r>
      <w:r>
        <w:rPr>
          <w:rFonts w:ascii="Times New Roman" w:hAnsi="Times New Roman" w:cs="Times New Roman"/>
          <w:sz w:val="24"/>
          <w:szCs w:val="24"/>
        </w:rPr>
        <w:t>.</w:t>
      </w:r>
    </w:p>
    <w:p w:rsidR="00E757BC" w:rsidP="00E757BC" w:rsidRDefault="00E757BC" w14:paraId="43619757" w14:textId="5565FAE0">
      <w:pPr>
        <w:jc w:val="both"/>
        <w:rPr>
          <w:rFonts w:ascii="Times New Roman" w:hAnsi="Times New Roman" w:cs="Times New Roman"/>
          <w:sz w:val="24"/>
          <w:szCs w:val="24"/>
        </w:rPr>
      </w:pPr>
      <w:r w:rsidRPr="00E757BC">
        <w:rPr>
          <w:rFonts w:ascii="Times New Roman" w:hAnsi="Times New Roman" w:cs="Times New Roman"/>
          <w:sz w:val="24"/>
          <w:szCs w:val="24"/>
        </w:rPr>
        <w:t xml:space="preserve">Beyond consumer electronics, the legislative trend is spreading into </w:t>
      </w:r>
      <w:r>
        <w:rPr>
          <w:rFonts w:ascii="Times New Roman" w:hAnsi="Times New Roman" w:cs="Times New Roman"/>
          <w:sz w:val="24"/>
          <w:szCs w:val="24"/>
        </w:rPr>
        <w:t xml:space="preserve">the </w:t>
      </w:r>
      <w:r w:rsidRPr="00E757BC">
        <w:rPr>
          <w:rFonts w:ascii="Times New Roman" w:hAnsi="Times New Roman" w:cs="Times New Roman"/>
          <w:sz w:val="24"/>
          <w:szCs w:val="24"/>
        </w:rPr>
        <w:t>heavy</w:t>
      </w:r>
      <w:r>
        <w:rPr>
          <w:rFonts w:ascii="Times New Roman" w:hAnsi="Times New Roman" w:cs="Times New Roman"/>
          <w:sz w:val="24"/>
          <w:szCs w:val="24"/>
        </w:rPr>
        <w:t xml:space="preserve"> </w:t>
      </w:r>
      <w:r w:rsidRPr="00E757BC">
        <w:rPr>
          <w:rFonts w:ascii="Times New Roman" w:hAnsi="Times New Roman" w:cs="Times New Roman"/>
          <w:sz w:val="24"/>
          <w:szCs w:val="24"/>
        </w:rPr>
        <w:t xml:space="preserve">duty and agricultural sectors that form the backbone of U.S. commerce. </w:t>
      </w:r>
      <w:r>
        <w:rPr>
          <w:rFonts w:ascii="Times New Roman" w:hAnsi="Times New Roman" w:cs="Times New Roman"/>
          <w:sz w:val="24"/>
          <w:szCs w:val="24"/>
        </w:rPr>
        <w:t>While pending bills, if passed, could cause</w:t>
      </w:r>
      <w:r w:rsidRPr="00E757BC">
        <w:rPr>
          <w:rFonts w:ascii="Times New Roman" w:hAnsi="Times New Roman" w:cs="Times New Roman"/>
          <w:sz w:val="24"/>
          <w:szCs w:val="24"/>
        </w:rPr>
        <w:t xml:space="preserve"> OEMs to rethink distribution models and licensing practices that once limited access to essential repair tools</w:t>
      </w:r>
      <w:r>
        <w:rPr>
          <w:rFonts w:ascii="Times New Roman" w:hAnsi="Times New Roman" w:cs="Times New Roman"/>
          <w:sz w:val="24"/>
          <w:szCs w:val="24"/>
        </w:rPr>
        <w:t>, legislation extending right to repair laws beyond consumer electronics has proven difficult to pass</w:t>
      </w:r>
      <w:r w:rsidRPr="00E757BC">
        <w:rPr>
          <w:rFonts w:ascii="Times New Roman" w:hAnsi="Times New Roman" w:cs="Times New Roman"/>
          <w:sz w:val="24"/>
          <w:szCs w:val="24"/>
        </w:rPr>
        <w:t xml:space="preserve">. </w:t>
      </w:r>
      <w:r>
        <w:rPr>
          <w:rFonts w:ascii="Times New Roman" w:hAnsi="Times New Roman" w:cs="Times New Roman"/>
          <w:sz w:val="24"/>
          <w:szCs w:val="24"/>
        </w:rPr>
        <w:t xml:space="preserve">As it stands today, the loose patchwork of right to repair laws fall well-short of what is needed to protect the aftermarkets for heavy duty equipment. </w:t>
      </w:r>
    </w:p>
    <w:p w:rsidRPr="00E757BC" w:rsidR="00E757BC" w:rsidP="00E757BC" w:rsidRDefault="00E757BC" w14:paraId="33B458DB" w14:textId="7E19EB37">
      <w:pPr>
        <w:jc w:val="both"/>
        <w:rPr>
          <w:rFonts w:ascii="Times New Roman" w:hAnsi="Times New Roman" w:cs="Times New Roman"/>
          <w:i/>
          <w:iCs/>
          <w:sz w:val="24"/>
          <w:szCs w:val="24"/>
        </w:rPr>
      </w:pPr>
      <w:r w:rsidRPr="00E757BC">
        <w:rPr>
          <w:rFonts w:ascii="Times New Roman" w:hAnsi="Times New Roman" w:cs="Times New Roman"/>
          <w:sz w:val="24"/>
          <w:szCs w:val="24"/>
        </w:rPr>
        <w:tab/>
      </w:r>
      <w:r w:rsidRPr="00E757BC">
        <w:rPr>
          <w:rFonts w:ascii="Times New Roman" w:hAnsi="Times New Roman" w:cs="Times New Roman"/>
          <w:i/>
          <w:iCs/>
          <w:sz w:val="24"/>
          <w:szCs w:val="24"/>
        </w:rPr>
        <w:t>OEMs Lose Challenge to Right to Repair Law</w:t>
      </w:r>
    </w:p>
    <w:p w:rsidRPr="00E757BC" w:rsidR="00E757BC" w:rsidP="00E757BC" w:rsidRDefault="00E757BC" w14:paraId="28C1A4E6" w14:textId="204D7E3E">
      <w:pPr>
        <w:jc w:val="both"/>
        <w:rPr>
          <w:rFonts w:ascii="Times New Roman" w:hAnsi="Times New Roman" w:cs="Times New Roman"/>
          <w:sz w:val="24"/>
          <w:szCs w:val="24"/>
        </w:rPr>
      </w:pPr>
      <w:r>
        <w:rPr>
          <w:rFonts w:ascii="Times New Roman" w:hAnsi="Times New Roman" w:cs="Times New Roman"/>
          <w:sz w:val="24"/>
          <w:szCs w:val="24"/>
        </w:rPr>
        <w:t xml:space="preserve">Concerns about the enforceability of right to repair laws appears to be overstated. </w:t>
      </w:r>
      <w:r w:rsidRPr="00E757BC">
        <w:rPr>
          <w:rFonts w:ascii="Times New Roman" w:hAnsi="Times New Roman" w:cs="Times New Roman"/>
          <w:sz w:val="24"/>
          <w:szCs w:val="24"/>
        </w:rPr>
        <w:t xml:space="preserve">In </w:t>
      </w:r>
      <w:r w:rsidRPr="00E757BC">
        <w:rPr>
          <w:rFonts w:ascii="Times New Roman" w:hAnsi="Times New Roman" w:cs="Times New Roman"/>
          <w:i/>
          <w:iCs/>
          <w:sz w:val="24"/>
          <w:szCs w:val="24"/>
        </w:rPr>
        <w:t>Alliance for Automotive Innovation v. Campbell</w:t>
      </w:r>
      <w:r w:rsidRPr="00E757BC">
        <w:rPr>
          <w:rFonts w:ascii="Times New Roman" w:hAnsi="Times New Roman" w:cs="Times New Roman"/>
          <w:sz w:val="24"/>
          <w:szCs w:val="24"/>
        </w:rPr>
        <w:t xml:space="preserve">, automakers and </w:t>
      </w:r>
      <w:r>
        <w:rPr>
          <w:rFonts w:ascii="Times New Roman" w:hAnsi="Times New Roman" w:cs="Times New Roman"/>
          <w:sz w:val="24"/>
          <w:szCs w:val="24"/>
        </w:rPr>
        <w:t>a</w:t>
      </w:r>
      <w:r w:rsidRPr="00E757BC">
        <w:rPr>
          <w:rFonts w:ascii="Times New Roman" w:hAnsi="Times New Roman" w:cs="Times New Roman"/>
          <w:sz w:val="24"/>
          <w:szCs w:val="24"/>
        </w:rPr>
        <w:t xml:space="preserve"> trade </w:t>
      </w:r>
      <w:r>
        <w:rPr>
          <w:rFonts w:ascii="Times New Roman" w:hAnsi="Times New Roman" w:cs="Times New Roman"/>
          <w:sz w:val="24"/>
          <w:szCs w:val="24"/>
        </w:rPr>
        <w:t>association</w:t>
      </w:r>
      <w:r w:rsidRPr="00E757BC">
        <w:rPr>
          <w:rFonts w:ascii="Times New Roman" w:hAnsi="Times New Roman" w:cs="Times New Roman"/>
          <w:sz w:val="24"/>
          <w:szCs w:val="24"/>
        </w:rPr>
        <w:t xml:space="preserve"> challenged Massachusetts’ 2020 Data Access Law, which requires vehicle manufacturers to provide owners and independent repair shops with access to telematics data used for diagnostics and repair. The plaintiffs claimed that the state law conflicted with federal vehicle safety and cybersecurity regulations, particularly those enforced by the National Highway Traffic Safety Administration (NHTSA), argu</w:t>
      </w:r>
      <w:r w:rsidR="00F65172">
        <w:rPr>
          <w:rFonts w:ascii="Times New Roman" w:hAnsi="Times New Roman" w:cs="Times New Roman"/>
          <w:sz w:val="24"/>
          <w:szCs w:val="24"/>
        </w:rPr>
        <w:t>ing</w:t>
      </w:r>
      <w:r w:rsidRPr="00E757BC">
        <w:rPr>
          <w:rFonts w:ascii="Times New Roman" w:hAnsi="Times New Roman" w:cs="Times New Roman"/>
          <w:sz w:val="24"/>
          <w:szCs w:val="24"/>
        </w:rPr>
        <w:t xml:space="preserve"> that compliance </w:t>
      </w:r>
      <w:r w:rsidR="00F65172">
        <w:rPr>
          <w:rFonts w:ascii="Times New Roman" w:hAnsi="Times New Roman" w:cs="Times New Roman"/>
          <w:sz w:val="24"/>
          <w:szCs w:val="24"/>
        </w:rPr>
        <w:t xml:space="preserve">with the Massachusetts law </w:t>
      </w:r>
      <w:r w:rsidRPr="00E757BC">
        <w:rPr>
          <w:rFonts w:ascii="Times New Roman" w:hAnsi="Times New Roman" w:cs="Times New Roman"/>
          <w:sz w:val="24"/>
          <w:szCs w:val="24"/>
        </w:rPr>
        <w:t xml:space="preserve">would expose connected vehicles to heightened cybersecurity risks. </w:t>
      </w:r>
    </w:p>
    <w:p w:rsidR="00F65172" w:rsidP="00E757BC" w:rsidRDefault="00F65172" w14:paraId="6451FA90" w14:textId="77777777">
      <w:pPr>
        <w:jc w:val="both"/>
        <w:rPr>
          <w:rFonts w:ascii="Times New Roman" w:hAnsi="Times New Roman" w:cs="Times New Roman"/>
          <w:sz w:val="24"/>
          <w:szCs w:val="24"/>
        </w:rPr>
      </w:pPr>
      <w:r>
        <w:rPr>
          <w:rFonts w:ascii="Times New Roman" w:hAnsi="Times New Roman" w:cs="Times New Roman"/>
          <w:sz w:val="24"/>
          <w:szCs w:val="24"/>
        </w:rPr>
        <w:t>In</w:t>
      </w:r>
      <w:r w:rsidRPr="00E757BC" w:rsidR="00E757BC">
        <w:rPr>
          <w:rFonts w:ascii="Times New Roman" w:hAnsi="Times New Roman" w:cs="Times New Roman"/>
          <w:sz w:val="24"/>
          <w:szCs w:val="24"/>
        </w:rPr>
        <w:t xml:space="preserve"> February 2025, the </w:t>
      </w:r>
      <w:r>
        <w:rPr>
          <w:rFonts w:ascii="Times New Roman" w:hAnsi="Times New Roman" w:cs="Times New Roman"/>
          <w:sz w:val="24"/>
          <w:szCs w:val="24"/>
        </w:rPr>
        <w:t>court</w:t>
      </w:r>
      <w:r w:rsidRPr="00E757BC" w:rsidR="00E757BC">
        <w:rPr>
          <w:rFonts w:ascii="Times New Roman" w:hAnsi="Times New Roman" w:cs="Times New Roman"/>
          <w:sz w:val="24"/>
          <w:szCs w:val="24"/>
        </w:rPr>
        <w:t xml:space="preserve"> dismissed </w:t>
      </w:r>
      <w:r>
        <w:rPr>
          <w:rFonts w:ascii="Times New Roman" w:hAnsi="Times New Roman" w:cs="Times New Roman"/>
          <w:sz w:val="24"/>
          <w:szCs w:val="24"/>
        </w:rPr>
        <w:t>the case</w:t>
      </w:r>
      <w:r w:rsidRPr="00E757BC" w:rsidR="00E757BC">
        <w:rPr>
          <w:rFonts w:ascii="Times New Roman" w:hAnsi="Times New Roman" w:cs="Times New Roman"/>
          <w:sz w:val="24"/>
          <w:szCs w:val="24"/>
        </w:rPr>
        <w:t xml:space="preserve">, </w:t>
      </w:r>
      <w:r>
        <w:rPr>
          <w:rFonts w:ascii="Times New Roman" w:hAnsi="Times New Roman" w:cs="Times New Roman"/>
          <w:sz w:val="24"/>
          <w:szCs w:val="24"/>
        </w:rPr>
        <w:t>confirming</w:t>
      </w:r>
      <w:r w:rsidRPr="00E757BC" w:rsidR="00E757BC">
        <w:rPr>
          <w:rFonts w:ascii="Times New Roman" w:hAnsi="Times New Roman" w:cs="Times New Roman"/>
          <w:sz w:val="24"/>
          <w:szCs w:val="24"/>
        </w:rPr>
        <w:t xml:space="preserve"> that Massachusetts could mandate open telematics access for vehicle owners and independent repairers. Following the ruling, </w:t>
      </w:r>
      <w:r>
        <w:rPr>
          <w:rFonts w:ascii="Times New Roman" w:hAnsi="Times New Roman" w:cs="Times New Roman"/>
          <w:sz w:val="24"/>
          <w:szCs w:val="24"/>
        </w:rPr>
        <w:t xml:space="preserve">the </w:t>
      </w:r>
      <w:r w:rsidRPr="00E757BC" w:rsidR="00E757BC">
        <w:rPr>
          <w:rFonts w:ascii="Times New Roman" w:hAnsi="Times New Roman" w:cs="Times New Roman"/>
          <w:sz w:val="24"/>
          <w:szCs w:val="24"/>
        </w:rPr>
        <w:t xml:space="preserve">NHTSA updated its position: whereas it had initially warned that the state law could undermine vehicle cybersecurity, </w:t>
      </w:r>
      <w:r>
        <w:rPr>
          <w:rFonts w:ascii="Times New Roman" w:hAnsi="Times New Roman" w:cs="Times New Roman"/>
          <w:sz w:val="24"/>
          <w:szCs w:val="24"/>
        </w:rPr>
        <w:t>the NHTSA now</w:t>
      </w:r>
      <w:r w:rsidRPr="00E757BC" w:rsidR="00E757BC">
        <w:rPr>
          <w:rFonts w:ascii="Times New Roman" w:hAnsi="Times New Roman" w:cs="Times New Roman"/>
          <w:sz w:val="24"/>
          <w:szCs w:val="24"/>
        </w:rPr>
        <w:t xml:space="preserve"> endorse</w:t>
      </w:r>
      <w:r>
        <w:rPr>
          <w:rFonts w:ascii="Times New Roman" w:hAnsi="Times New Roman" w:cs="Times New Roman"/>
          <w:sz w:val="24"/>
          <w:szCs w:val="24"/>
        </w:rPr>
        <w:t>s</w:t>
      </w:r>
      <w:r w:rsidRPr="00E757BC" w:rsidR="00E757BC">
        <w:rPr>
          <w:rFonts w:ascii="Times New Roman" w:hAnsi="Times New Roman" w:cs="Times New Roman"/>
          <w:sz w:val="24"/>
          <w:szCs w:val="24"/>
        </w:rPr>
        <w:t xml:space="preserve"> secure short</w:t>
      </w:r>
      <w:r>
        <w:rPr>
          <w:rFonts w:ascii="Times New Roman" w:hAnsi="Times New Roman" w:cs="Times New Roman"/>
          <w:sz w:val="24"/>
          <w:szCs w:val="24"/>
        </w:rPr>
        <w:t xml:space="preserve"> </w:t>
      </w:r>
      <w:r w:rsidRPr="00E757BC" w:rsidR="00E757BC">
        <w:rPr>
          <w:rFonts w:ascii="Times New Roman" w:hAnsi="Times New Roman" w:cs="Times New Roman"/>
          <w:sz w:val="24"/>
          <w:szCs w:val="24"/>
        </w:rPr>
        <w:t>range data</w:t>
      </w:r>
      <w:r>
        <w:rPr>
          <w:rFonts w:ascii="Times New Roman" w:hAnsi="Times New Roman" w:cs="Times New Roman"/>
          <w:sz w:val="24"/>
          <w:szCs w:val="24"/>
        </w:rPr>
        <w:t xml:space="preserve"> </w:t>
      </w:r>
      <w:r w:rsidRPr="00E757BC" w:rsidR="00E757BC">
        <w:rPr>
          <w:rFonts w:ascii="Times New Roman" w:hAnsi="Times New Roman" w:cs="Times New Roman"/>
          <w:sz w:val="24"/>
          <w:szCs w:val="24"/>
        </w:rPr>
        <w:t xml:space="preserve">sharing methods, such as Bluetooth-based connections, as compliant mechanisms to enable repair access while mitigating security risks. </w:t>
      </w:r>
    </w:p>
    <w:p w:rsidR="00E757BC" w:rsidP="00E757BC" w:rsidRDefault="00F65172" w14:paraId="27DFCF24" w14:textId="4795F9EF">
      <w:pPr>
        <w:jc w:val="both"/>
        <w:rPr>
          <w:rFonts w:ascii="Times New Roman" w:hAnsi="Times New Roman" w:cs="Times New Roman"/>
          <w:sz w:val="24"/>
          <w:szCs w:val="24"/>
        </w:rPr>
      </w:pPr>
      <w:r>
        <w:rPr>
          <w:rFonts w:ascii="Times New Roman" w:hAnsi="Times New Roman" w:cs="Times New Roman"/>
          <w:sz w:val="24"/>
          <w:szCs w:val="24"/>
        </w:rPr>
        <w:t>This is an important victory for the aftermarket, but it is important to note that the court’s dismissal of the case has been appealed and a ruling affirming the trial court could result in Supreme Court review. Massachusetts has won a significant battle, but the war is far from over.</w:t>
      </w:r>
    </w:p>
    <w:p w:rsidR="00F65172" w:rsidP="00E757BC" w:rsidRDefault="00F65172" w14:paraId="6BCA95BA" w14:textId="35029693">
      <w:pPr>
        <w:jc w:val="both"/>
        <w:rPr>
          <w:rFonts w:ascii="Times New Roman" w:hAnsi="Times New Roman" w:cs="Times New Roman"/>
          <w:i/>
          <w:iCs/>
          <w:sz w:val="24"/>
          <w:szCs w:val="24"/>
        </w:rPr>
      </w:pPr>
      <w:r>
        <w:rPr>
          <w:rFonts w:ascii="Times New Roman" w:hAnsi="Times New Roman" w:cs="Times New Roman"/>
          <w:sz w:val="24"/>
          <w:szCs w:val="24"/>
        </w:rPr>
        <w:tab/>
      </w:r>
      <w:r>
        <w:rPr>
          <w:rFonts w:ascii="Times New Roman" w:hAnsi="Times New Roman" w:cs="Times New Roman"/>
          <w:i/>
          <w:iCs/>
          <w:sz w:val="24"/>
          <w:szCs w:val="24"/>
        </w:rPr>
        <w:t>The Federal REPAIR Act</w:t>
      </w:r>
    </w:p>
    <w:p w:rsidRPr="00F65172" w:rsidR="00F65172" w:rsidP="00F65172" w:rsidRDefault="00F65172" w14:paraId="6E5F238E" w14:textId="3DFC7F6E">
      <w:pPr>
        <w:jc w:val="both"/>
        <w:rPr>
          <w:rFonts w:ascii="Times New Roman" w:hAnsi="Times New Roman" w:cs="Times New Roman"/>
          <w:sz w:val="24"/>
          <w:szCs w:val="24"/>
        </w:rPr>
      </w:pPr>
      <w:r w:rsidRPr="00F65172">
        <w:rPr>
          <w:rFonts w:ascii="Times New Roman" w:hAnsi="Times New Roman" w:cs="Times New Roman"/>
          <w:sz w:val="24"/>
          <w:szCs w:val="24"/>
        </w:rPr>
        <w:t xml:space="preserve">The federal </w:t>
      </w:r>
      <w:r w:rsidRPr="009137C1">
        <w:rPr>
          <w:rFonts w:ascii="Times New Roman" w:hAnsi="Times New Roman" w:cs="Times New Roman"/>
          <w:i/>
          <w:iCs/>
          <w:sz w:val="24"/>
          <w:szCs w:val="24"/>
        </w:rPr>
        <w:t>Right to Equitable and Professional Auto Industry Repair (REPAIR) Act</w:t>
      </w:r>
      <w:r w:rsidRPr="00F65172">
        <w:rPr>
          <w:rFonts w:ascii="Times New Roman" w:hAnsi="Times New Roman" w:cs="Times New Roman"/>
          <w:sz w:val="24"/>
          <w:szCs w:val="24"/>
        </w:rPr>
        <w:t xml:space="preserve"> stands as the most comprehensive legislative effort yet to level the playing field between OEMs and independent repairers. First introduced in 2022 and reintroduced with bipartisan backing in 2024, the bill seeks to guarantee that vehicle owners, independent shops, and aftermarket suppliers have equal access to diagnostic and telematics data. Its provisions require manufacturers to provide real-time access to in-vehicle data critical to diagnostics, repair, and calibration</w:t>
      </w:r>
      <w:r w:rsidR="009137C1">
        <w:rPr>
          <w:rFonts w:ascii="Times New Roman" w:hAnsi="Times New Roman" w:cs="Times New Roman"/>
          <w:sz w:val="24"/>
          <w:szCs w:val="24"/>
        </w:rPr>
        <w:t>,</w:t>
      </w:r>
      <w:r w:rsidRPr="00F65172">
        <w:rPr>
          <w:rFonts w:ascii="Times New Roman" w:hAnsi="Times New Roman" w:cs="Times New Roman"/>
          <w:sz w:val="24"/>
          <w:szCs w:val="24"/>
        </w:rPr>
        <w:t xml:space="preserve"> to supply repair software, tools, and manuals to independent providers on fair and reasonable terms</w:t>
      </w:r>
      <w:r w:rsidR="009137C1">
        <w:rPr>
          <w:rFonts w:ascii="Times New Roman" w:hAnsi="Times New Roman" w:cs="Times New Roman"/>
          <w:sz w:val="24"/>
          <w:szCs w:val="24"/>
        </w:rPr>
        <w:t>,</w:t>
      </w:r>
      <w:r w:rsidRPr="00F65172">
        <w:rPr>
          <w:rFonts w:ascii="Times New Roman" w:hAnsi="Times New Roman" w:cs="Times New Roman"/>
          <w:sz w:val="24"/>
          <w:szCs w:val="24"/>
        </w:rPr>
        <w:t xml:space="preserve"> and to refrain from using technological or legal barriers—such as encryption, VIN-locking, or restrictive licensing—to limit legitimate repair or parts installation. The Act would also empower the FTC and </w:t>
      </w:r>
      <w:r w:rsidR="009137C1">
        <w:rPr>
          <w:rFonts w:ascii="Times New Roman" w:hAnsi="Times New Roman" w:cs="Times New Roman"/>
          <w:sz w:val="24"/>
          <w:szCs w:val="24"/>
        </w:rPr>
        <w:t xml:space="preserve">the </w:t>
      </w:r>
      <w:r w:rsidRPr="00F65172">
        <w:rPr>
          <w:rFonts w:ascii="Times New Roman" w:hAnsi="Times New Roman" w:cs="Times New Roman"/>
          <w:sz w:val="24"/>
          <w:szCs w:val="24"/>
        </w:rPr>
        <w:t>NHTSA to oversee compliance, setting enforceable national standards for repair access and data sharing.</w:t>
      </w:r>
    </w:p>
    <w:p w:rsidR="009137C1" w:rsidP="00F65172" w:rsidRDefault="00F65172" w14:paraId="0B7A460A" w14:textId="68F1A98C">
      <w:pPr>
        <w:jc w:val="both"/>
        <w:rPr>
          <w:rFonts w:ascii="Times New Roman" w:hAnsi="Times New Roman" w:cs="Times New Roman"/>
          <w:sz w:val="24"/>
          <w:szCs w:val="24"/>
        </w:rPr>
      </w:pPr>
      <w:r w:rsidRPr="00F65172">
        <w:rPr>
          <w:rFonts w:ascii="Times New Roman" w:hAnsi="Times New Roman" w:cs="Times New Roman"/>
          <w:sz w:val="24"/>
          <w:szCs w:val="24"/>
        </w:rPr>
        <w:t xml:space="preserve">As of </w:t>
      </w:r>
      <w:r w:rsidR="009137C1">
        <w:rPr>
          <w:rFonts w:ascii="Times New Roman" w:hAnsi="Times New Roman" w:cs="Times New Roman"/>
          <w:sz w:val="24"/>
          <w:szCs w:val="24"/>
        </w:rPr>
        <w:t>fall</w:t>
      </w:r>
      <w:r w:rsidRPr="00F65172">
        <w:rPr>
          <w:rFonts w:ascii="Times New Roman" w:hAnsi="Times New Roman" w:cs="Times New Roman"/>
          <w:sz w:val="24"/>
          <w:szCs w:val="24"/>
        </w:rPr>
        <w:t xml:space="preserve"> 2025, the REPAIR Act has advanced through the House Energy and Commerce Committee, buoyed by endorsements from major industry groups like the Auto Care Association, MEMA Aftermarket Suppliers, and SEMA. Lawmakers from manufacturing, agricultural, and logistics-heavy states have highlighted the bill’s economic importance—arguing that it would reduce maintenance costs and fleet downtime for small businesses and commercial operators. </w:t>
      </w:r>
      <w:r w:rsidR="009137C1">
        <w:rPr>
          <w:rFonts w:ascii="Times New Roman" w:hAnsi="Times New Roman" w:cs="Times New Roman"/>
          <w:sz w:val="24"/>
          <w:szCs w:val="24"/>
        </w:rPr>
        <w:t>That said</w:t>
      </w:r>
      <w:r w:rsidRPr="00F65172">
        <w:rPr>
          <w:rFonts w:ascii="Times New Roman" w:hAnsi="Times New Roman" w:cs="Times New Roman"/>
          <w:sz w:val="24"/>
          <w:szCs w:val="24"/>
        </w:rPr>
        <w:t xml:space="preserve">, opposition from automakers and cybersecurity advocates has </w:t>
      </w:r>
      <w:r w:rsidR="009137C1">
        <w:rPr>
          <w:rFonts w:ascii="Times New Roman" w:hAnsi="Times New Roman" w:cs="Times New Roman"/>
          <w:sz w:val="24"/>
          <w:szCs w:val="24"/>
        </w:rPr>
        <w:t xml:space="preserve">stalled the bill </w:t>
      </w:r>
      <w:r w:rsidRPr="00F65172">
        <w:rPr>
          <w:rFonts w:ascii="Times New Roman" w:hAnsi="Times New Roman" w:cs="Times New Roman"/>
          <w:sz w:val="24"/>
          <w:szCs w:val="24"/>
        </w:rPr>
        <w:t>in the Senate</w:t>
      </w:r>
      <w:r w:rsidR="009137C1">
        <w:rPr>
          <w:rFonts w:ascii="Times New Roman" w:hAnsi="Times New Roman" w:cs="Times New Roman"/>
          <w:sz w:val="24"/>
          <w:szCs w:val="24"/>
        </w:rPr>
        <w:t>.</w:t>
      </w:r>
      <w:r w:rsidRPr="00F65172">
        <w:rPr>
          <w:rFonts w:ascii="Times New Roman" w:hAnsi="Times New Roman" w:cs="Times New Roman"/>
          <w:sz w:val="24"/>
          <w:szCs w:val="24"/>
        </w:rPr>
        <w:t xml:space="preserve"> Despite </w:t>
      </w:r>
      <w:proofErr w:type="gramStart"/>
      <w:r w:rsidR="009137C1">
        <w:rPr>
          <w:rFonts w:ascii="Times New Roman" w:hAnsi="Times New Roman" w:cs="Times New Roman"/>
          <w:sz w:val="24"/>
          <w:szCs w:val="24"/>
        </w:rPr>
        <w:t xml:space="preserve">this </w:t>
      </w:r>
      <w:r w:rsidRPr="00F65172">
        <w:rPr>
          <w:rFonts w:ascii="Times New Roman" w:hAnsi="Times New Roman" w:cs="Times New Roman"/>
          <w:sz w:val="24"/>
          <w:szCs w:val="24"/>
        </w:rPr>
        <w:t>congressional observers</w:t>
      </w:r>
      <w:proofErr w:type="gramEnd"/>
      <w:r w:rsidRPr="00F65172">
        <w:rPr>
          <w:rFonts w:ascii="Times New Roman" w:hAnsi="Times New Roman" w:cs="Times New Roman"/>
          <w:sz w:val="24"/>
          <w:szCs w:val="24"/>
        </w:rPr>
        <w:t xml:space="preserve"> view the REPAIR Act’s passage in the next legislative session as increasingly likely. If enacted, it would establish a uniform national baseline for repair access—replacing the patchwork of state laws, strengthening enforcement authority, and ensuring that both light and heavy</w:t>
      </w:r>
      <w:r w:rsidR="009137C1">
        <w:rPr>
          <w:rFonts w:ascii="Times New Roman" w:hAnsi="Times New Roman" w:cs="Times New Roman"/>
          <w:sz w:val="24"/>
          <w:szCs w:val="24"/>
        </w:rPr>
        <w:t xml:space="preserve"> </w:t>
      </w:r>
      <w:r w:rsidRPr="00F65172">
        <w:rPr>
          <w:rFonts w:ascii="Times New Roman" w:hAnsi="Times New Roman" w:cs="Times New Roman"/>
          <w:sz w:val="24"/>
          <w:szCs w:val="24"/>
        </w:rPr>
        <w:t>duty vehicle owners can repair what they own without undue OEM interference</w:t>
      </w:r>
      <w:r>
        <w:rPr>
          <w:rFonts w:ascii="Times New Roman" w:hAnsi="Times New Roman" w:cs="Times New Roman"/>
          <w:sz w:val="24"/>
          <w:szCs w:val="24"/>
        </w:rPr>
        <w:t>.</w:t>
      </w:r>
    </w:p>
    <w:p w:rsidR="005E4883" w:rsidP="009137C1" w:rsidRDefault="009137C1" w14:paraId="0ED3BE6A" w14:textId="763786AD">
      <w:pPr>
        <w:jc w:val="both"/>
        <w:rPr>
          <w:rFonts w:ascii="Times New Roman" w:hAnsi="Times New Roman" w:cs="Times New Roman"/>
          <w:b/>
          <w:bCs/>
          <w:sz w:val="24"/>
          <w:szCs w:val="24"/>
        </w:rPr>
      </w:pPr>
      <w:r>
        <w:rPr>
          <w:rFonts w:ascii="Times New Roman" w:hAnsi="Times New Roman" w:cs="Times New Roman"/>
          <w:b/>
          <w:bCs/>
          <w:sz w:val="24"/>
          <w:szCs w:val="24"/>
        </w:rPr>
        <w:t>What To Do Now: A 90-Day Action Plan</w:t>
      </w:r>
    </w:p>
    <w:p w:rsidRPr="009137C1" w:rsidR="009137C1" w:rsidP="009137C1" w:rsidRDefault="009137C1" w14:paraId="0537D990" w14:textId="7C5F591C">
      <w:pPr>
        <w:jc w:val="both"/>
        <w:rPr>
          <w:rFonts w:ascii="Times New Roman" w:hAnsi="Times New Roman" w:cs="Times New Roman"/>
          <w:sz w:val="24"/>
          <w:szCs w:val="24"/>
        </w:rPr>
      </w:pPr>
      <w:r>
        <w:rPr>
          <w:rFonts w:ascii="Times New Roman" w:hAnsi="Times New Roman" w:cs="Times New Roman"/>
          <w:sz w:val="24"/>
          <w:szCs w:val="24"/>
        </w:rPr>
        <w:t xml:space="preserve">The time is ripe for the aftermarket to extend and secure an enduring victory against the OEMs. The following is an overview of what companies can do now to ensure that they will be in the best position to enforce their rights in what is a quickly changing landscape. </w:t>
      </w:r>
      <w:r w:rsidR="0096370B">
        <w:rPr>
          <w:rFonts w:ascii="Times New Roman" w:hAnsi="Times New Roman" w:cs="Times New Roman"/>
          <w:sz w:val="24"/>
          <w:szCs w:val="24"/>
        </w:rPr>
        <w:t>Companies</w:t>
      </w:r>
      <w:r w:rsidRPr="009137C1">
        <w:rPr>
          <w:rFonts w:ascii="Times New Roman" w:hAnsi="Times New Roman" w:cs="Times New Roman"/>
          <w:sz w:val="24"/>
          <w:szCs w:val="24"/>
        </w:rPr>
        <w:t xml:space="preserve"> should conduct a comprehensive internal inventory of their equipment, diagnostic tools, and software dependencies. This process should identify every instance where access to OEM systems, calibration tools, or telematics data is limited or conditioned on manufacturer authorization. Businesses should catalogue each vehicle or equipment SKU, software version, and telematics subscription, documenting where diagnostic codes cannot be cleared, firmware cannot be installed, or parts pairing prevents full repairs. </w:t>
      </w:r>
      <w:r w:rsidR="00C8272B">
        <w:rPr>
          <w:rFonts w:ascii="Times New Roman" w:hAnsi="Times New Roman" w:cs="Times New Roman"/>
          <w:sz w:val="24"/>
          <w:szCs w:val="24"/>
        </w:rPr>
        <w:t>Likewise, a</w:t>
      </w:r>
      <w:r w:rsidR="0096370B">
        <w:rPr>
          <w:rFonts w:ascii="Times New Roman" w:hAnsi="Times New Roman" w:cs="Times New Roman"/>
          <w:sz w:val="24"/>
          <w:szCs w:val="24"/>
        </w:rPr>
        <w:t>ftermarket parts suppliers to detail every instance where they were unable to sell their parts due to OEM restrictions on competition</w:t>
      </w:r>
      <w:r w:rsidR="00B973C6">
        <w:rPr>
          <w:rFonts w:ascii="Times New Roman" w:hAnsi="Times New Roman" w:cs="Times New Roman"/>
          <w:sz w:val="24"/>
          <w:szCs w:val="24"/>
        </w:rPr>
        <w:t>.</w:t>
      </w:r>
      <w:r w:rsidR="0096370B">
        <w:rPr>
          <w:rFonts w:ascii="Times New Roman" w:hAnsi="Times New Roman" w:cs="Times New Roman"/>
          <w:sz w:val="24"/>
          <w:szCs w:val="24"/>
        </w:rPr>
        <w:t xml:space="preserve"> </w:t>
      </w:r>
      <w:r w:rsidRPr="009137C1">
        <w:rPr>
          <w:rFonts w:ascii="Times New Roman" w:hAnsi="Times New Roman" w:cs="Times New Roman"/>
          <w:sz w:val="24"/>
          <w:szCs w:val="24"/>
        </w:rPr>
        <w:t xml:space="preserve">This foundational audit </w:t>
      </w:r>
      <w:r w:rsidR="00B973C6">
        <w:rPr>
          <w:rFonts w:ascii="Times New Roman" w:hAnsi="Times New Roman" w:cs="Times New Roman"/>
          <w:sz w:val="24"/>
          <w:szCs w:val="24"/>
        </w:rPr>
        <w:t xml:space="preserve">can help to </w:t>
      </w:r>
      <w:r w:rsidRPr="009137C1">
        <w:rPr>
          <w:rFonts w:ascii="Times New Roman" w:hAnsi="Times New Roman" w:cs="Times New Roman"/>
          <w:sz w:val="24"/>
          <w:szCs w:val="24"/>
        </w:rPr>
        <w:t>establish both a compliance record and a roadmap for restoring operational independence.</w:t>
      </w:r>
    </w:p>
    <w:p w:rsidRPr="009137C1" w:rsidR="009137C1" w:rsidP="009137C1" w:rsidRDefault="00B973C6" w14:paraId="4703B0E4" w14:textId="64F47BA7">
      <w:pPr>
        <w:jc w:val="both"/>
        <w:rPr>
          <w:rFonts w:ascii="Times New Roman" w:hAnsi="Times New Roman" w:cs="Times New Roman"/>
          <w:sz w:val="24"/>
          <w:szCs w:val="24"/>
        </w:rPr>
      </w:pPr>
      <w:r>
        <w:rPr>
          <w:rFonts w:ascii="Times New Roman" w:hAnsi="Times New Roman" w:cs="Times New Roman"/>
          <w:sz w:val="24"/>
          <w:szCs w:val="24"/>
        </w:rPr>
        <w:t xml:space="preserve">Next, companies </w:t>
      </w:r>
      <w:r w:rsidRPr="009137C1" w:rsidR="009137C1">
        <w:rPr>
          <w:rFonts w:ascii="Times New Roman" w:hAnsi="Times New Roman" w:cs="Times New Roman"/>
          <w:sz w:val="24"/>
          <w:szCs w:val="24"/>
        </w:rPr>
        <w:t xml:space="preserve">should focus on closing access gaps and renegotiating contractual relationships. </w:t>
      </w:r>
      <w:r w:rsidR="004E1EAB">
        <w:rPr>
          <w:rFonts w:ascii="Times New Roman" w:hAnsi="Times New Roman" w:cs="Times New Roman"/>
          <w:sz w:val="24"/>
          <w:szCs w:val="24"/>
        </w:rPr>
        <w:t>In particular, c</w:t>
      </w:r>
      <w:r w:rsidRPr="009137C1" w:rsidR="009137C1">
        <w:rPr>
          <w:rFonts w:ascii="Times New Roman" w:hAnsi="Times New Roman" w:cs="Times New Roman"/>
          <w:sz w:val="24"/>
          <w:szCs w:val="24"/>
        </w:rPr>
        <w:t xml:space="preserve">ompanies should evaluate which diagnostic tools require secure gateway authorization or updated cybersecurity </w:t>
      </w:r>
      <w:proofErr w:type="gramStart"/>
      <w:r w:rsidRPr="009137C1" w:rsidR="009137C1">
        <w:rPr>
          <w:rFonts w:ascii="Times New Roman" w:hAnsi="Times New Roman" w:cs="Times New Roman"/>
          <w:sz w:val="24"/>
          <w:szCs w:val="24"/>
        </w:rPr>
        <w:t>protocols, and</w:t>
      </w:r>
      <w:proofErr w:type="gramEnd"/>
      <w:r w:rsidRPr="009137C1" w:rsidR="009137C1">
        <w:rPr>
          <w:rFonts w:ascii="Times New Roman" w:hAnsi="Times New Roman" w:cs="Times New Roman"/>
          <w:sz w:val="24"/>
          <w:szCs w:val="24"/>
        </w:rPr>
        <w:t xml:space="preserve"> invest in the upgrades necessary to maintain compatibility with current vehicle systems. </w:t>
      </w:r>
      <w:r w:rsidR="004E1EAB">
        <w:rPr>
          <w:rFonts w:ascii="Times New Roman" w:hAnsi="Times New Roman" w:cs="Times New Roman"/>
          <w:sz w:val="24"/>
          <w:szCs w:val="24"/>
        </w:rPr>
        <w:t>Companies</w:t>
      </w:r>
      <w:r w:rsidRPr="009137C1" w:rsidR="009137C1">
        <w:rPr>
          <w:rFonts w:ascii="Times New Roman" w:hAnsi="Times New Roman" w:cs="Times New Roman"/>
          <w:sz w:val="24"/>
          <w:szCs w:val="24"/>
        </w:rPr>
        <w:t xml:space="preserve"> should then work with counsel to renegotiate contracts with suppliers, OEMs, and service partners to include explicit right</w:t>
      </w:r>
      <w:r w:rsidR="004E1EAB">
        <w:rPr>
          <w:rFonts w:ascii="Times New Roman" w:hAnsi="Times New Roman" w:cs="Times New Roman"/>
          <w:sz w:val="24"/>
          <w:szCs w:val="24"/>
        </w:rPr>
        <w:t xml:space="preserve"> </w:t>
      </w:r>
      <w:r w:rsidRPr="009137C1" w:rsidR="009137C1">
        <w:rPr>
          <w:rFonts w:ascii="Times New Roman" w:hAnsi="Times New Roman" w:cs="Times New Roman"/>
          <w:sz w:val="24"/>
          <w:szCs w:val="24"/>
        </w:rPr>
        <w:t>to</w:t>
      </w:r>
      <w:r w:rsidR="004E1EAB">
        <w:rPr>
          <w:rFonts w:ascii="Times New Roman" w:hAnsi="Times New Roman" w:cs="Times New Roman"/>
          <w:sz w:val="24"/>
          <w:szCs w:val="24"/>
        </w:rPr>
        <w:t xml:space="preserve"> </w:t>
      </w:r>
      <w:r w:rsidRPr="009137C1" w:rsidR="009137C1">
        <w:rPr>
          <w:rFonts w:ascii="Times New Roman" w:hAnsi="Times New Roman" w:cs="Times New Roman"/>
          <w:sz w:val="24"/>
          <w:szCs w:val="24"/>
        </w:rPr>
        <w:t xml:space="preserve">repair clauses. These provisions should guarantee full diagnostic and calibration access, require fair and non-discriminatory parts pricing, and preserve data portability rights. Where feasible, firms should amend existing agreements to add continuity protections, such as escrowed access to software and tools if the OEM withdraws support. </w:t>
      </w:r>
      <w:r w:rsidR="004E1EAB">
        <w:rPr>
          <w:rFonts w:ascii="Times New Roman" w:hAnsi="Times New Roman" w:cs="Times New Roman"/>
          <w:sz w:val="24"/>
          <w:szCs w:val="24"/>
        </w:rPr>
        <w:t xml:space="preserve">These negotiations should be explicit, in writing, and preserved—developing a record to show OEM intransigence on right to repair issues and reliance on “take it or leave it” contracting will be important down the line in any effort to enforce the company’s rights. </w:t>
      </w:r>
      <w:r w:rsidRPr="009137C1" w:rsidR="009137C1">
        <w:rPr>
          <w:rFonts w:ascii="Times New Roman" w:hAnsi="Times New Roman" w:cs="Times New Roman"/>
          <w:sz w:val="24"/>
          <w:szCs w:val="24"/>
        </w:rPr>
        <w:t>Parallel to this effort, leadership teams should launch employee training programs that emphasize secure repair workflows, emissions compliance, and data privacy—ensuring that all service operations meet both legal and cybersecurity standards.</w:t>
      </w:r>
    </w:p>
    <w:p w:rsidR="004E1EAB" w:rsidP="004E1EAB" w:rsidRDefault="004E1EAB" w14:paraId="48267378" w14:textId="77777777">
      <w:pPr>
        <w:jc w:val="both"/>
        <w:rPr>
          <w:rFonts w:ascii="Times New Roman" w:hAnsi="Times New Roman" w:cs="Times New Roman"/>
          <w:sz w:val="24"/>
          <w:szCs w:val="24"/>
        </w:rPr>
      </w:pPr>
      <w:r>
        <w:rPr>
          <w:rFonts w:ascii="Times New Roman" w:hAnsi="Times New Roman" w:cs="Times New Roman"/>
          <w:sz w:val="24"/>
          <w:szCs w:val="24"/>
        </w:rPr>
        <w:t>Finally</w:t>
      </w:r>
      <w:r w:rsidRPr="009137C1" w:rsidR="009137C1">
        <w:rPr>
          <w:rFonts w:ascii="Times New Roman" w:hAnsi="Times New Roman" w:cs="Times New Roman"/>
          <w:sz w:val="24"/>
          <w:szCs w:val="24"/>
        </w:rPr>
        <w:t>, aftermarket participants should shift their focus from internal readiness to external engagement and enforcement. This means collaborating with industry associations and policymakers to support pending state and federal right</w:t>
      </w:r>
      <w:r>
        <w:rPr>
          <w:rFonts w:ascii="Times New Roman" w:hAnsi="Times New Roman" w:cs="Times New Roman"/>
          <w:sz w:val="24"/>
          <w:szCs w:val="24"/>
        </w:rPr>
        <w:t xml:space="preserve"> </w:t>
      </w:r>
      <w:r w:rsidRPr="009137C1" w:rsidR="009137C1">
        <w:rPr>
          <w:rFonts w:ascii="Times New Roman" w:hAnsi="Times New Roman" w:cs="Times New Roman"/>
          <w:sz w:val="24"/>
          <w:szCs w:val="24"/>
        </w:rPr>
        <w:t>to</w:t>
      </w:r>
      <w:r>
        <w:rPr>
          <w:rFonts w:ascii="Times New Roman" w:hAnsi="Times New Roman" w:cs="Times New Roman"/>
          <w:sz w:val="24"/>
          <w:szCs w:val="24"/>
        </w:rPr>
        <w:t xml:space="preserve"> </w:t>
      </w:r>
      <w:r w:rsidRPr="009137C1" w:rsidR="009137C1">
        <w:rPr>
          <w:rFonts w:ascii="Times New Roman" w:hAnsi="Times New Roman" w:cs="Times New Roman"/>
          <w:sz w:val="24"/>
          <w:szCs w:val="24"/>
        </w:rPr>
        <w:t xml:space="preserve">repair initiatives, including the </w:t>
      </w:r>
      <w:r>
        <w:rPr>
          <w:rFonts w:ascii="Times New Roman" w:hAnsi="Times New Roman" w:cs="Times New Roman"/>
          <w:sz w:val="24"/>
          <w:szCs w:val="24"/>
        </w:rPr>
        <w:t xml:space="preserve">federal </w:t>
      </w:r>
      <w:r w:rsidRPr="009137C1" w:rsidR="009137C1">
        <w:rPr>
          <w:rFonts w:ascii="Times New Roman" w:hAnsi="Times New Roman" w:cs="Times New Roman"/>
          <w:sz w:val="24"/>
          <w:szCs w:val="24"/>
        </w:rPr>
        <w:t xml:space="preserve">REPAIR Act. Companies should compile real-world data on equipment downtime, repair delays, and costs resulting from OEM restrictions, then share those findings through trade associations and public comment processes. Simultaneously, firms should consult experienced antitrust and regulatory counsel to evaluate potential litigation or administrative options—including complaints to the FTC or state attorneys general—to challenge </w:t>
      </w:r>
      <w:r>
        <w:rPr>
          <w:rFonts w:ascii="Times New Roman" w:hAnsi="Times New Roman" w:cs="Times New Roman"/>
          <w:sz w:val="24"/>
          <w:szCs w:val="24"/>
        </w:rPr>
        <w:t xml:space="preserve">OEM </w:t>
      </w:r>
      <w:r w:rsidRPr="009137C1" w:rsidR="009137C1">
        <w:rPr>
          <w:rFonts w:ascii="Times New Roman" w:hAnsi="Times New Roman" w:cs="Times New Roman"/>
          <w:sz w:val="24"/>
          <w:szCs w:val="24"/>
        </w:rPr>
        <w:t>exclusionary</w:t>
      </w:r>
      <w:r>
        <w:rPr>
          <w:rFonts w:ascii="Times New Roman" w:hAnsi="Times New Roman" w:cs="Times New Roman"/>
          <w:sz w:val="24"/>
          <w:szCs w:val="24"/>
        </w:rPr>
        <w:t xml:space="preserve"> and predatory</w:t>
      </w:r>
      <w:r w:rsidRPr="009137C1" w:rsidR="009137C1">
        <w:rPr>
          <w:rFonts w:ascii="Times New Roman" w:hAnsi="Times New Roman" w:cs="Times New Roman"/>
          <w:sz w:val="24"/>
          <w:szCs w:val="24"/>
        </w:rPr>
        <w:t xml:space="preserve"> practices</w:t>
      </w:r>
      <w:r>
        <w:rPr>
          <w:rFonts w:ascii="Times New Roman" w:hAnsi="Times New Roman" w:cs="Times New Roman"/>
          <w:sz w:val="24"/>
          <w:szCs w:val="24"/>
        </w:rPr>
        <w:t>.</w:t>
      </w:r>
    </w:p>
    <w:p w:rsidRPr="004E1EAB" w:rsidR="004E1EAB" w:rsidP="004E1EAB" w:rsidRDefault="004E1EAB" w14:paraId="5CC459FD" w14:textId="220CD1D4">
      <w:pPr>
        <w:jc w:val="center"/>
        <w:rPr>
          <w:rFonts w:ascii="Times New Roman" w:hAnsi="Times New Roman" w:cs="Times New Roman"/>
          <w:sz w:val="24"/>
          <w:szCs w:val="24"/>
        </w:rPr>
      </w:pPr>
      <w:r w:rsidRPr="004E1EAB">
        <w:rPr>
          <w:rFonts w:ascii="Times New Roman" w:hAnsi="Times New Roman" w:cs="Times New Roman"/>
          <w:sz w:val="24"/>
          <w:szCs w:val="24"/>
        </w:rPr>
        <w:t>*</w:t>
      </w:r>
      <w:r w:rsidRPr="004E1EAB">
        <w:rPr>
          <w:rFonts w:ascii="Times New Roman" w:hAnsi="Times New Roman" w:cs="Times New Roman"/>
          <w:sz w:val="24"/>
          <w:szCs w:val="24"/>
        </w:rPr>
        <w:tab/>
        <w:t>*</w:t>
      </w:r>
      <w:r w:rsidRPr="004E1EAB">
        <w:rPr>
          <w:rFonts w:ascii="Times New Roman" w:hAnsi="Times New Roman" w:cs="Times New Roman"/>
          <w:sz w:val="24"/>
          <w:szCs w:val="24"/>
        </w:rPr>
        <w:tab/>
        <w:t>*</w:t>
      </w:r>
      <w:r w:rsidRPr="004E1EAB">
        <w:rPr>
          <w:rFonts w:ascii="Times New Roman" w:hAnsi="Times New Roman" w:cs="Times New Roman"/>
          <w:sz w:val="24"/>
          <w:szCs w:val="24"/>
        </w:rPr>
        <w:tab/>
        <w:t>*</w:t>
      </w:r>
      <w:r w:rsidRPr="004E1EAB">
        <w:rPr>
          <w:rFonts w:ascii="Times New Roman" w:hAnsi="Times New Roman" w:cs="Times New Roman"/>
          <w:sz w:val="24"/>
          <w:szCs w:val="24"/>
        </w:rPr>
        <w:tab/>
        <w:t>*</w:t>
      </w:r>
    </w:p>
    <w:p w:rsidRPr="004E1EAB" w:rsidR="005E4883" w:rsidP="004E1EAB" w:rsidRDefault="00CB5C41" w14:paraId="6DBA12E3" w14:textId="486E4802">
      <w:pPr>
        <w:jc w:val="both"/>
        <w:rPr>
          <w:rFonts w:ascii="Times New Roman" w:hAnsi="Times New Roman" w:cs="Times New Roman"/>
          <w:sz w:val="24"/>
          <w:szCs w:val="24"/>
        </w:rPr>
      </w:pPr>
      <w:r w:rsidRPr="001443EF">
        <w:rPr>
          <w:rFonts w:ascii="Times New Roman" w:hAnsi="Times New Roman" w:cs="Times New Roman"/>
          <w:sz w:val="24"/>
          <w:szCs w:val="24"/>
        </w:rPr>
        <w:t xml:space="preserve">Enforcement and litigation are finally catching up to the realities of </w:t>
      </w:r>
      <w:r w:rsidR="004E1EAB">
        <w:rPr>
          <w:rFonts w:ascii="Times New Roman" w:hAnsi="Times New Roman" w:cs="Times New Roman"/>
          <w:sz w:val="24"/>
          <w:szCs w:val="24"/>
        </w:rPr>
        <w:t xml:space="preserve">OEM </w:t>
      </w:r>
      <w:r w:rsidRPr="001443EF">
        <w:rPr>
          <w:rFonts w:ascii="Times New Roman" w:hAnsi="Times New Roman" w:cs="Times New Roman"/>
          <w:sz w:val="24"/>
          <w:szCs w:val="24"/>
        </w:rPr>
        <w:t xml:space="preserve">repair monopolies. With regulators, courts, and legislatures </w:t>
      </w:r>
      <w:r w:rsidR="00D4223D">
        <w:rPr>
          <w:rFonts w:ascii="Times New Roman" w:hAnsi="Times New Roman" w:cs="Times New Roman"/>
          <w:sz w:val="24"/>
          <w:szCs w:val="24"/>
        </w:rPr>
        <w:t>all starting to recognize the important of aftermarket competition</w:t>
      </w:r>
      <w:r w:rsidRPr="001443EF">
        <w:rPr>
          <w:rFonts w:ascii="Times New Roman" w:hAnsi="Times New Roman" w:cs="Times New Roman"/>
          <w:sz w:val="24"/>
          <w:szCs w:val="24"/>
        </w:rPr>
        <w:t xml:space="preserve">, </w:t>
      </w:r>
      <w:r w:rsidR="004E1EAB">
        <w:rPr>
          <w:rFonts w:ascii="Times New Roman" w:hAnsi="Times New Roman" w:cs="Times New Roman"/>
          <w:sz w:val="24"/>
          <w:szCs w:val="24"/>
        </w:rPr>
        <w:t>now is the time to act</w:t>
      </w:r>
      <w:r w:rsidRPr="001443EF">
        <w:rPr>
          <w:rFonts w:ascii="Times New Roman" w:hAnsi="Times New Roman" w:cs="Times New Roman"/>
          <w:sz w:val="24"/>
          <w:szCs w:val="24"/>
        </w:rPr>
        <w:t>.</w:t>
      </w:r>
    </w:p>
    <w:sectPr w:rsidRPr="004E1EAB" w:rsidR="005E488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FE328B5"/>
    <w:multiLevelType w:val="hybridMultilevel"/>
    <w:tmpl w:val="0650AEF2"/>
    <w:lvl w:ilvl="0" w:tplc="A4CA4A20">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723A66"/>
    <w:multiLevelType w:val="hybridMultilevel"/>
    <w:tmpl w:val="5F48B022"/>
    <w:lvl w:ilvl="0" w:tplc="81644AC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804851">
    <w:abstractNumId w:val="8"/>
  </w:num>
  <w:num w:numId="2" w16cid:durableId="1068839654">
    <w:abstractNumId w:val="6"/>
  </w:num>
  <w:num w:numId="3" w16cid:durableId="1067387002">
    <w:abstractNumId w:val="5"/>
  </w:num>
  <w:num w:numId="4" w16cid:durableId="1629973406">
    <w:abstractNumId w:val="4"/>
  </w:num>
  <w:num w:numId="5" w16cid:durableId="1366446865">
    <w:abstractNumId w:val="7"/>
  </w:num>
  <w:num w:numId="6" w16cid:durableId="1050039336">
    <w:abstractNumId w:val="3"/>
  </w:num>
  <w:num w:numId="7" w16cid:durableId="471336161">
    <w:abstractNumId w:val="2"/>
  </w:num>
  <w:num w:numId="8" w16cid:durableId="1862939953">
    <w:abstractNumId w:val="1"/>
  </w:num>
  <w:num w:numId="9" w16cid:durableId="1309900560">
    <w:abstractNumId w:val="0"/>
  </w:num>
  <w:num w:numId="10" w16cid:durableId="2019458645">
    <w:abstractNumId w:val="9"/>
  </w:num>
  <w:num w:numId="11" w16cid:durableId="15633728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443EF"/>
    <w:rsid w:val="0015074B"/>
    <w:rsid w:val="0029639D"/>
    <w:rsid w:val="00326F90"/>
    <w:rsid w:val="004E1EAB"/>
    <w:rsid w:val="005E4883"/>
    <w:rsid w:val="005F3B25"/>
    <w:rsid w:val="008F238E"/>
    <w:rsid w:val="009137C1"/>
    <w:rsid w:val="0096370B"/>
    <w:rsid w:val="00AA1D8D"/>
    <w:rsid w:val="00B47730"/>
    <w:rsid w:val="00B973C6"/>
    <w:rsid w:val="00C8272B"/>
    <w:rsid w:val="00CB0664"/>
    <w:rsid w:val="00D4223D"/>
    <w:rsid w:val="00D8405D"/>
    <w:rsid w:val="00E757BC"/>
    <w:rsid w:val="00F6517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45A6BF"/>
  <w14:defaultImageDpi w14:val="300"/>
  <w15:docId w15:val="{88C0B817-2316-4883-9346-AD693447A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15013">
      <w:bodyDiv w:val="1"/>
      <w:marLeft w:val="0"/>
      <w:marRight w:val="0"/>
      <w:marTop w:val="0"/>
      <w:marBottom w:val="0"/>
      <w:divBdr>
        <w:top w:val="none" w:sz="0" w:space="0" w:color="auto"/>
        <w:left w:val="none" w:sz="0" w:space="0" w:color="auto"/>
        <w:bottom w:val="none" w:sz="0" w:space="0" w:color="auto"/>
        <w:right w:val="none" w:sz="0" w:space="0" w:color="auto"/>
      </w:divBdr>
    </w:div>
    <w:div w:id="8379648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theme" Target="theme/theme1.xml" Id="rId7" /><Relationship Type="http://schemas.openxmlformats.org/officeDocument/2006/relationships/numbering" Target="numbering.xml" Id="rId2"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1900-01-01T00:00:00.0000000Z</dcterms:created>
  <dcterms:modified xsi:type="dcterms:W3CDTF">1900-01-01T00:00:00.0000000Z</dcterms:modified>
</coreProperties>
</file>